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42" w:rsidRDefault="004A795C" w:rsidP="004A795C">
      <w:pPr>
        <w:jc w:val="both"/>
        <w:rPr>
          <w:sz w:val="28"/>
          <w:szCs w:val="28"/>
          <w:lang w:val="en-ZW"/>
        </w:rPr>
      </w:pPr>
      <w:proofErr w:type="spellStart"/>
      <w:proofErr w:type="gramStart"/>
      <w:r w:rsidRPr="004A795C">
        <w:rPr>
          <w:sz w:val="28"/>
          <w:szCs w:val="28"/>
          <w:lang w:val="en-ZW"/>
        </w:rPr>
        <w:t>Headteachers</w:t>
      </w:r>
      <w:proofErr w:type="spellEnd"/>
      <w:r w:rsidRPr="004A795C">
        <w:rPr>
          <w:sz w:val="28"/>
          <w:szCs w:val="28"/>
          <w:lang w:val="en-ZW"/>
        </w:rPr>
        <w:t>’ Conceptions of the Professional Competence of Newly Qualified Teachers in Zambia.</w:t>
      </w:r>
      <w:proofErr w:type="gramEnd"/>
    </w:p>
    <w:p w:rsidR="00252D42" w:rsidRDefault="00252D42" w:rsidP="004A795C">
      <w:pPr>
        <w:jc w:val="both"/>
        <w:rPr>
          <w:sz w:val="28"/>
          <w:szCs w:val="28"/>
          <w:lang w:val="en-ZW"/>
        </w:rPr>
      </w:pPr>
    </w:p>
    <w:p w:rsidR="004A795C" w:rsidRDefault="00252D42" w:rsidP="00252D42">
      <w:pPr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 xml:space="preserve">Madalitso </w:t>
      </w:r>
      <w:proofErr w:type="spellStart"/>
      <w:r>
        <w:rPr>
          <w:sz w:val="28"/>
          <w:szCs w:val="28"/>
          <w:lang w:val="en-ZW"/>
        </w:rPr>
        <w:t>K.</w:t>
      </w:r>
      <w:r w:rsidRPr="004A795C">
        <w:rPr>
          <w:sz w:val="28"/>
          <w:szCs w:val="28"/>
          <w:lang w:val="en-ZW"/>
        </w:rPr>
        <w:t>Banja</w:t>
      </w:r>
      <w:proofErr w:type="spellEnd"/>
      <w:r w:rsidRPr="004A795C">
        <w:rPr>
          <w:b/>
          <w:sz w:val="28"/>
          <w:szCs w:val="28"/>
          <w:lang w:val="en-ZW"/>
        </w:rPr>
        <w:t xml:space="preserve">, </w:t>
      </w:r>
      <w:proofErr w:type="spellStart"/>
      <w:r w:rsidRPr="004A795C">
        <w:rPr>
          <w:sz w:val="28"/>
          <w:szCs w:val="28"/>
          <w:lang w:val="en-ZW"/>
        </w:rPr>
        <w:t>Kasonde-Ng’andu</w:t>
      </w:r>
      <w:proofErr w:type="spellEnd"/>
      <w:r w:rsidRPr="004A795C">
        <w:rPr>
          <w:sz w:val="28"/>
          <w:szCs w:val="28"/>
          <w:lang w:val="en-ZW"/>
        </w:rPr>
        <w:t>, S. &amp;</w:t>
      </w:r>
      <w:r w:rsidRPr="004A795C">
        <w:rPr>
          <w:sz w:val="28"/>
          <w:szCs w:val="28"/>
          <w:vertAlign w:val="superscript"/>
          <w:lang w:val="en-ZW"/>
        </w:rPr>
        <w:t xml:space="preserve"> </w:t>
      </w:r>
      <w:proofErr w:type="spellStart"/>
      <w:r w:rsidRPr="004A795C">
        <w:rPr>
          <w:sz w:val="28"/>
          <w:szCs w:val="28"/>
          <w:lang w:val="en-ZW"/>
        </w:rPr>
        <w:t>Akakandelwa</w:t>
      </w:r>
      <w:proofErr w:type="spellEnd"/>
      <w:r w:rsidRPr="004A795C">
        <w:rPr>
          <w:sz w:val="28"/>
          <w:szCs w:val="28"/>
          <w:lang w:val="en-ZW"/>
        </w:rPr>
        <w:t>, A</w:t>
      </w:r>
      <w:r>
        <w:rPr>
          <w:sz w:val="28"/>
          <w:szCs w:val="28"/>
          <w:lang w:val="en-ZW"/>
        </w:rPr>
        <w:t>kakandelwa</w:t>
      </w:r>
      <w:r w:rsidRPr="004A795C">
        <w:rPr>
          <w:sz w:val="28"/>
          <w:szCs w:val="28"/>
          <w:lang w:val="en-ZW"/>
        </w:rPr>
        <w:t xml:space="preserve"> </w:t>
      </w:r>
    </w:p>
    <w:p w:rsidR="00252D42" w:rsidRPr="004A795C" w:rsidRDefault="00252D42" w:rsidP="00252D42">
      <w:pPr>
        <w:jc w:val="both"/>
        <w:rPr>
          <w:lang w:val="en-ZW"/>
        </w:rPr>
      </w:pPr>
    </w:p>
    <w:p w:rsidR="004A795C" w:rsidRPr="004A795C" w:rsidRDefault="004A795C" w:rsidP="004A795C">
      <w:pPr>
        <w:spacing w:line="360" w:lineRule="auto"/>
        <w:rPr>
          <w:b/>
          <w:i/>
          <w:sz w:val="28"/>
          <w:szCs w:val="28"/>
          <w:lang w:val="en-ZW"/>
        </w:rPr>
      </w:pPr>
      <w:r w:rsidRPr="004A795C">
        <w:rPr>
          <w:b/>
          <w:sz w:val="28"/>
          <w:szCs w:val="28"/>
          <w:lang w:val="en-ZW"/>
        </w:rPr>
        <w:t>Abstract</w:t>
      </w:r>
    </w:p>
    <w:p w:rsidR="004A795C" w:rsidRDefault="004A795C" w:rsidP="00252D42">
      <w:pPr>
        <w:tabs>
          <w:tab w:val="left" w:pos="12060"/>
        </w:tabs>
        <w:spacing w:line="360" w:lineRule="auto"/>
        <w:ind w:left="720" w:right="-180" w:hanging="720"/>
        <w:jc w:val="both"/>
        <w:rPr>
          <w:sz w:val="28"/>
          <w:szCs w:val="28"/>
          <w:lang w:val="en-ZW"/>
        </w:rPr>
      </w:pPr>
      <w:r w:rsidRPr="004A795C">
        <w:rPr>
          <w:sz w:val="28"/>
          <w:szCs w:val="28"/>
          <w:lang w:val="en-ZW"/>
        </w:rPr>
        <w:t>This paper discusses the conceptions of fifteen head teachers regarding t</w:t>
      </w:r>
      <w:r>
        <w:rPr>
          <w:sz w:val="28"/>
          <w:szCs w:val="28"/>
          <w:lang w:val="en-ZW"/>
        </w:rPr>
        <w:t>he</w:t>
      </w:r>
    </w:p>
    <w:p w:rsidR="004A795C" w:rsidRPr="004A795C" w:rsidRDefault="004A795C" w:rsidP="00252D42">
      <w:pPr>
        <w:tabs>
          <w:tab w:val="left" w:pos="12060"/>
        </w:tabs>
        <w:spacing w:line="360" w:lineRule="auto"/>
        <w:ind w:right="-180"/>
        <w:jc w:val="both"/>
        <w:rPr>
          <w:sz w:val="28"/>
          <w:szCs w:val="28"/>
        </w:rPr>
      </w:pPr>
      <w:proofErr w:type="gramStart"/>
      <w:r w:rsidRPr="004A795C">
        <w:rPr>
          <w:sz w:val="28"/>
          <w:szCs w:val="28"/>
          <w:lang w:val="en-ZW"/>
        </w:rPr>
        <w:t>professional</w:t>
      </w:r>
      <w:proofErr w:type="gramEnd"/>
      <w:r w:rsidRPr="004A795C">
        <w:rPr>
          <w:sz w:val="28"/>
          <w:szCs w:val="28"/>
          <w:lang w:val="en-ZW"/>
        </w:rPr>
        <w:t xml:space="preserve"> attributes</w:t>
      </w:r>
      <w:r>
        <w:rPr>
          <w:sz w:val="28"/>
          <w:szCs w:val="28"/>
          <w:lang w:val="en-ZW"/>
        </w:rPr>
        <w:t xml:space="preserve"> </w:t>
      </w:r>
      <w:r w:rsidRPr="004A795C">
        <w:rPr>
          <w:sz w:val="28"/>
          <w:szCs w:val="28"/>
          <w:lang w:val="en-ZW"/>
        </w:rPr>
        <w:t>and competence of newly qualif</w:t>
      </w:r>
      <w:r>
        <w:rPr>
          <w:sz w:val="28"/>
          <w:szCs w:val="28"/>
          <w:lang w:val="en-ZW"/>
        </w:rPr>
        <w:t>ied teachers (NQTs) in selected</w:t>
      </w:r>
      <w:r w:rsidR="00252D42">
        <w:rPr>
          <w:sz w:val="28"/>
          <w:szCs w:val="28"/>
          <w:lang w:val="en-ZW"/>
        </w:rPr>
        <w:t xml:space="preserve"> </w:t>
      </w:r>
      <w:r w:rsidRPr="004A795C">
        <w:rPr>
          <w:sz w:val="28"/>
          <w:szCs w:val="28"/>
          <w:lang w:val="en-ZW"/>
        </w:rPr>
        <w:t>secondary schools in Zambia. It</w:t>
      </w:r>
      <w:r>
        <w:rPr>
          <w:sz w:val="28"/>
          <w:szCs w:val="28"/>
          <w:lang w:val="en-ZW"/>
        </w:rPr>
        <w:t xml:space="preserve"> </w:t>
      </w:r>
      <w:r w:rsidRPr="004A795C">
        <w:rPr>
          <w:sz w:val="28"/>
          <w:szCs w:val="28"/>
          <w:lang w:val="en-ZW"/>
        </w:rPr>
        <w:t>attempts to de</w:t>
      </w:r>
      <w:r>
        <w:rPr>
          <w:sz w:val="28"/>
          <w:szCs w:val="28"/>
          <w:lang w:val="en-ZW"/>
        </w:rPr>
        <w:t>monstrate how teacher education</w:t>
      </w:r>
      <w:r w:rsidR="00252D42">
        <w:rPr>
          <w:sz w:val="28"/>
          <w:szCs w:val="28"/>
          <w:lang w:val="en-ZW"/>
        </w:rPr>
        <w:t xml:space="preserve"> </w:t>
      </w:r>
      <w:r w:rsidRPr="004A795C">
        <w:rPr>
          <w:sz w:val="28"/>
          <w:szCs w:val="28"/>
          <w:lang w:val="en-ZW"/>
        </w:rPr>
        <w:t>programmes and work environments in schools</w:t>
      </w:r>
      <w:r>
        <w:rPr>
          <w:sz w:val="28"/>
          <w:szCs w:val="28"/>
          <w:lang w:val="en-ZW"/>
        </w:rPr>
        <w:t xml:space="preserve"> </w:t>
      </w:r>
      <w:r w:rsidRPr="004A795C">
        <w:rPr>
          <w:sz w:val="28"/>
          <w:szCs w:val="28"/>
          <w:lang w:val="en-ZW"/>
        </w:rPr>
        <w:t>gr</w:t>
      </w:r>
      <w:r>
        <w:rPr>
          <w:sz w:val="28"/>
          <w:szCs w:val="28"/>
          <w:lang w:val="en-ZW"/>
        </w:rPr>
        <w:t>eatly influence NQT performance</w:t>
      </w:r>
      <w:r w:rsidR="00252D42">
        <w:rPr>
          <w:sz w:val="28"/>
          <w:szCs w:val="28"/>
          <w:lang w:val="en-ZW"/>
        </w:rPr>
        <w:t xml:space="preserve"> </w:t>
      </w:r>
      <w:r w:rsidRPr="004A795C">
        <w:rPr>
          <w:sz w:val="28"/>
          <w:szCs w:val="28"/>
          <w:lang w:val="en-ZW"/>
        </w:rPr>
        <w:t>and work place disposition. Data were collected through in</w:t>
      </w:r>
      <w:r>
        <w:rPr>
          <w:sz w:val="28"/>
          <w:szCs w:val="28"/>
          <w:lang w:val="en-ZW"/>
        </w:rPr>
        <w:t xml:space="preserve"> depth one-on-one</w:t>
      </w:r>
      <w:r w:rsidR="00252D42">
        <w:rPr>
          <w:sz w:val="28"/>
          <w:szCs w:val="28"/>
          <w:lang w:val="en-ZW"/>
        </w:rPr>
        <w:t xml:space="preserve"> </w:t>
      </w:r>
      <w:r w:rsidRPr="004A795C">
        <w:rPr>
          <w:sz w:val="28"/>
          <w:szCs w:val="28"/>
          <w:lang w:val="en-ZW"/>
        </w:rPr>
        <w:t>interviews and analysed thematically using codi</w:t>
      </w:r>
      <w:r>
        <w:rPr>
          <w:sz w:val="28"/>
          <w:szCs w:val="28"/>
          <w:lang w:val="en-ZW"/>
        </w:rPr>
        <w:t xml:space="preserve">ng and patterns </w:t>
      </w:r>
      <w:r w:rsidRPr="004A795C">
        <w:rPr>
          <w:sz w:val="28"/>
          <w:szCs w:val="28"/>
          <w:lang w:val="en-ZW"/>
        </w:rPr>
        <w:t>interpretation.</w:t>
      </w:r>
      <w:r>
        <w:rPr>
          <w:sz w:val="28"/>
          <w:szCs w:val="28"/>
          <w:lang w:val="en-ZW"/>
        </w:rPr>
        <w:t xml:space="preserve"> </w:t>
      </w:r>
      <w:r>
        <w:rPr>
          <w:sz w:val="28"/>
          <w:szCs w:val="28"/>
        </w:rPr>
        <w:t>This</w:t>
      </w:r>
      <w:r w:rsidR="00252D42">
        <w:rPr>
          <w:sz w:val="28"/>
          <w:szCs w:val="28"/>
        </w:rPr>
        <w:t xml:space="preserve"> </w:t>
      </w:r>
      <w:r w:rsidRPr="004A795C">
        <w:rPr>
          <w:sz w:val="28"/>
          <w:szCs w:val="28"/>
        </w:rPr>
        <w:t>article has established</w:t>
      </w:r>
      <w:r>
        <w:rPr>
          <w:sz w:val="28"/>
          <w:szCs w:val="28"/>
        </w:rPr>
        <w:t xml:space="preserve"> that NQTs exhibited inadequate </w:t>
      </w:r>
      <w:r w:rsidRPr="004A795C">
        <w:rPr>
          <w:sz w:val="28"/>
          <w:szCs w:val="28"/>
          <w:lang w:val="en-ZW"/>
        </w:rPr>
        <w:t xml:space="preserve">pedagogical </w:t>
      </w:r>
      <w:r>
        <w:rPr>
          <w:sz w:val="28"/>
          <w:szCs w:val="28"/>
        </w:rPr>
        <w:t>execution of their</w:t>
      </w:r>
      <w:r w:rsidR="00252D42">
        <w:rPr>
          <w:sz w:val="28"/>
          <w:szCs w:val="28"/>
        </w:rPr>
        <w:t xml:space="preserve"> </w:t>
      </w:r>
      <w:r w:rsidRPr="004A795C">
        <w:rPr>
          <w:sz w:val="28"/>
          <w:szCs w:val="28"/>
        </w:rPr>
        <w:t>dutie</w:t>
      </w:r>
      <w:r>
        <w:rPr>
          <w:sz w:val="28"/>
          <w:szCs w:val="28"/>
        </w:rPr>
        <w:t>s</w:t>
      </w:r>
      <w:r w:rsidRPr="004A79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795C">
        <w:rPr>
          <w:sz w:val="28"/>
          <w:szCs w:val="28"/>
        </w:rPr>
        <w:t xml:space="preserve">low </w:t>
      </w:r>
      <w:r w:rsidRPr="004A795C">
        <w:rPr>
          <w:sz w:val="28"/>
          <w:szCs w:val="28"/>
          <w:lang w:val="en-ZW"/>
        </w:rPr>
        <w:t>commitmen</w:t>
      </w:r>
      <w:r>
        <w:rPr>
          <w:sz w:val="28"/>
          <w:szCs w:val="28"/>
          <w:lang w:val="en-ZW"/>
        </w:rPr>
        <w:t xml:space="preserve">t levels towards work and </w:t>
      </w:r>
      <w:r w:rsidRPr="004A795C">
        <w:rPr>
          <w:sz w:val="28"/>
          <w:szCs w:val="28"/>
        </w:rPr>
        <w:t>neg</w:t>
      </w:r>
      <w:r>
        <w:rPr>
          <w:sz w:val="28"/>
          <w:szCs w:val="28"/>
        </w:rPr>
        <w:t>ative attitudes towards veteran</w:t>
      </w:r>
      <w:r w:rsidR="00252D42">
        <w:rPr>
          <w:sz w:val="28"/>
          <w:szCs w:val="28"/>
        </w:rPr>
        <w:t xml:space="preserve"> </w:t>
      </w:r>
      <w:r w:rsidRPr="004A795C">
        <w:rPr>
          <w:sz w:val="28"/>
          <w:szCs w:val="28"/>
        </w:rPr>
        <w:t>teachers</w:t>
      </w:r>
      <w:r w:rsidRPr="004A795C">
        <w:rPr>
          <w:sz w:val="28"/>
          <w:szCs w:val="28"/>
          <w:lang w:val="en-ZW"/>
        </w:rPr>
        <w:t xml:space="preserve">. </w:t>
      </w:r>
      <w:r w:rsidRPr="004A795C">
        <w:rPr>
          <w:sz w:val="28"/>
          <w:szCs w:val="28"/>
        </w:rPr>
        <w:t>Teacher</w:t>
      </w:r>
      <w:r>
        <w:rPr>
          <w:sz w:val="28"/>
          <w:szCs w:val="28"/>
        </w:rPr>
        <w:t xml:space="preserve"> education </w:t>
      </w:r>
      <w:proofErr w:type="spellStart"/>
      <w:r>
        <w:rPr>
          <w:sz w:val="28"/>
          <w:szCs w:val="28"/>
        </w:rPr>
        <w:t>programmes</w:t>
      </w:r>
      <w:proofErr w:type="spellEnd"/>
      <w:r>
        <w:rPr>
          <w:sz w:val="28"/>
          <w:szCs w:val="28"/>
        </w:rPr>
        <w:t xml:space="preserve"> are </w:t>
      </w:r>
      <w:r w:rsidRPr="004A795C">
        <w:rPr>
          <w:sz w:val="28"/>
          <w:szCs w:val="28"/>
        </w:rPr>
        <w:t>critiqued for their weaknesses in teacher</w:t>
      </w:r>
      <w:r w:rsidR="00252D42">
        <w:rPr>
          <w:sz w:val="28"/>
          <w:szCs w:val="28"/>
        </w:rPr>
        <w:t xml:space="preserve"> </w:t>
      </w:r>
      <w:r w:rsidRPr="004A795C">
        <w:rPr>
          <w:sz w:val="28"/>
          <w:szCs w:val="28"/>
        </w:rPr>
        <w:t>preparation and so are schools</w:t>
      </w:r>
      <w:r>
        <w:rPr>
          <w:sz w:val="28"/>
          <w:szCs w:val="28"/>
        </w:rPr>
        <w:t xml:space="preserve"> </w:t>
      </w:r>
      <w:r w:rsidRPr="004A795C">
        <w:rPr>
          <w:sz w:val="28"/>
          <w:szCs w:val="28"/>
        </w:rPr>
        <w:t>for failing to pro</w:t>
      </w:r>
      <w:r>
        <w:rPr>
          <w:sz w:val="28"/>
          <w:szCs w:val="28"/>
        </w:rPr>
        <w:t xml:space="preserve">vide </w:t>
      </w:r>
      <w:proofErr w:type="gramStart"/>
      <w:r>
        <w:rPr>
          <w:sz w:val="28"/>
          <w:szCs w:val="28"/>
        </w:rPr>
        <w:t>conducive</w:t>
      </w:r>
      <w:proofErr w:type="gramEnd"/>
      <w:r>
        <w:rPr>
          <w:sz w:val="28"/>
          <w:szCs w:val="28"/>
        </w:rPr>
        <w:t xml:space="preserve"> environments for</w:t>
      </w:r>
      <w:r w:rsidR="00252D42">
        <w:rPr>
          <w:sz w:val="28"/>
          <w:szCs w:val="28"/>
        </w:rPr>
        <w:t xml:space="preserve"> </w:t>
      </w:r>
      <w:r w:rsidRPr="004A795C">
        <w:rPr>
          <w:sz w:val="28"/>
          <w:szCs w:val="28"/>
        </w:rPr>
        <w:t xml:space="preserve">NQTs to flourish. </w:t>
      </w:r>
    </w:p>
    <w:p w:rsidR="004A795C" w:rsidRPr="004A795C" w:rsidRDefault="004A795C" w:rsidP="004A795C">
      <w:pPr>
        <w:tabs>
          <w:tab w:val="left" w:pos="12060"/>
        </w:tabs>
        <w:spacing w:line="360" w:lineRule="auto"/>
        <w:ind w:left="720" w:right="-180" w:hanging="720"/>
        <w:jc w:val="both"/>
        <w:rPr>
          <w:sz w:val="28"/>
          <w:szCs w:val="28"/>
        </w:rPr>
      </w:pPr>
    </w:p>
    <w:p w:rsidR="004A795C" w:rsidRPr="004A795C" w:rsidRDefault="004A795C" w:rsidP="004A795C">
      <w:pPr>
        <w:tabs>
          <w:tab w:val="left" w:pos="1308"/>
        </w:tabs>
        <w:spacing w:line="480" w:lineRule="auto"/>
        <w:jc w:val="both"/>
        <w:rPr>
          <w:b/>
          <w:sz w:val="28"/>
          <w:szCs w:val="28"/>
          <w:lang w:val="en-ZW"/>
        </w:rPr>
      </w:pPr>
      <w:r w:rsidRPr="004A795C">
        <w:rPr>
          <w:b/>
          <w:sz w:val="28"/>
          <w:szCs w:val="28"/>
          <w:lang w:val="en-ZW"/>
        </w:rPr>
        <w:t>Key words</w:t>
      </w:r>
    </w:p>
    <w:p w:rsidR="004A795C" w:rsidRPr="004A795C" w:rsidRDefault="004A795C" w:rsidP="004A795C">
      <w:pPr>
        <w:tabs>
          <w:tab w:val="left" w:pos="1308"/>
        </w:tabs>
        <w:spacing w:line="360" w:lineRule="auto"/>
        <w:jc w:val="both"/>
        <w:rPr>
          <w:sz w:val="28"/>
          <w:szCs w:val="28"/>
          <w:lang w:val="en-ZW"/>
        </w:rPr>
      </w:pPr>
      <w:proofErr w:type="gramStart"/>
      <w:r w:rsidRPr="004A795C">
        <w:rPr>
          <w:sz w:val="28"/>
          <w:szCs w:val="28"/>
          <w:lang w:val="en-ZW"/>
        </w:rPr>
        <w:t>Professional competence, newly q</w:t>
      </w:r>
      <w:r>
        <w:rPr>
          <w:sz w:val="28"/>
          <w:szCs w:val="28"/>
          <w:lang w:val="en-ZW"/>
        </w:rPr>
        <w:t xml:space="preserve">ualified teachers, professional </w:t>
      </w:r>
      <w:r w:rsidRPr="004A795C">
        <w:rPr>
          <w:sz w:val="28"/>
          <w:szCs w:val="28"/>
          <w:lang w:val="en-ZW"/>
        </w:rPr>
        <w:t>development,   professionalism, commitment to duty.</w:t>
      </w:r>
      <w:proofErr w:type="gramEnd"/>
    </w:p>
    <w:p w:rsidR="004A795C" w:rsidRDefault="004A795C" w:rsidP="004A795C">
      <w:pPr>
        <w:spacing w:line="480" w:lineRule="auto"/>
        <w:jc w:val="both"/>
        <w:rPr>
          <w:b/>
        </w:rPr>
      </w:pPr>
      <w:r>
        <w:rPr>
          <w:b/>
          <w:color w:val="FF0000"/>
        </w:rPr>
        <w:t xml:space="preserve">        </w:t>
      </w:r>
      <w:r w:rsidRPr="00285453">
        <w:rPr>
          <w:b/>
        </w:rPr>
        <w:t xml:space="preserve"> </w:t>
      </w:r>
    </w:p>
    <w:p w:rsidR="00252D42" w:rsidRPr="004A795C" w:rsidRDefault="00252D42" w:rsidP="00252D42">
      <w:pPr>
        <w:rPr>
          <w:b/>
          <w:sz w:val="28"/>
          <w:szCs w:val="28"/>
          <w:lang w:val="en-ZW"/>
        </w:rPr>
      </w:pPr>
      <w:r w:rsidRPr="004A795C">
        <w:rPr>
          <w:b/>
          <w:sz w:val="28"/>
          <w:szCs w:val="28"/>
          <w:lang w:val="en-ZW"/>
        </w:rPr>
        <w:t>Citation</w:t>
      </w:r>
    </w:p>
    <w:p w:rsidR="00252D42" w:rsidRPr="004A795C" w:rsidRDefault="00252D42" w:rsidP="00252D42">
      <w:pPr>
        <w:rPr>
          <w:b/>
          <w:sz w:val="28"/>
          <w:szCs w:val="28"/>
          <w:lang w:val="en-ZW"/>
        </w:rPr>
      </w:pPr>
    </w:p>
    <w:p w:rsidR="00252D42" w:rsidRPr="004A795C" w:rsidRDefault="00252D42" w:rsidP="00252D42">
      <w:pPr>
        <w:jc w:val="both"/>
        <w:rPr>
          <w:sz w:val="28"/>
          <w:szCs w:val="28"/>
        </w:rPr>
      </w:pPr>
      <w:proofErr w:type="gramStart"/>
      <w:r w:rsidRPr="004A795C">
        <w:rPr>
          <w:sz w:val="28"/>
          <w:szCs w:val="28"/>
          <w:lang w:val="en-ZW"/>
        </w:rPr>
        <w:t>Banja</w:t>
      </w:r>
      <w:r w:rsidRPr="004A795C">
        <w:rPr>
          <w:b/>
          <w:sz w:val="28"/>
          <w:szCs w:val="28"/>
          <w:lang w:val="en-ZW"/>
        </w:rPr>
        <w:t xml:space="preserve">, </w:t>
      </w:r>
      <w:r w:rsidRPr="004A795C">
        <w:rPr>
          <w:sz w:val="28"/>
          <w:szCs w:val="28"/>
          <w:lang w:val="en-ZW"/>
        </w:rPr>
        <w:t>M. K.,</w:t>
      </w:r>
      <w:r w:rsidRPr="004A795C">
        <w:rPr>
          <w:sz w:val="28"/>
          <w:szCs w:val="28"/>
          <w:vertAlign w:val="superscript"/>
          <w:lang w:val="en-ZW"/>
        </w:rPr>
        <w:t xml:space="preserve"> </w:t>
      </w:r>
      <w:proofErr w:type="spellStart"/>
      <w:r w:rsidRPr="004A795C">
        <w:rPr>
          <w:sz w:val="28"/>
          <w:szCs w:val="28"/>
          <w:lang w:val="en-ZW"/>
        </w:rPr>
        <w:t>Kasonde-Ng’andu</w:t>
      </w:r>
      <w:proofErr w:type="spellEnd"/>
      <w:r w:rsidRPr="004A795C">
        <w:rPr>
          <w:sz w:val="28"/>
          <w:szCs w:val="28"/>
          <w:lang w:val="en-ZW"/>
        </w:rPr>
        <w:t>, S. &amp;</w:t>
      </w:r>
      <w:r w:rsidRPr="004A795C">
        <w:rPr>
          <w:sz w:val="28"/>
          <w:szCs w:val="28"/>
          <w:vertAlign w:val="superscript"/>
          <w:lang w:val="en-ZW"/>
        </w:rPr>
        <w:t xml:space="preserve"> </w:t>
      </w:r>
      <w:proofErr w:type="spellStart"/>
      <w:r w:rsidRPr="004A795C">
        <w:rPr>
          <w:sz w:val="28"/>
          <w:szCs w:val="28"/>
          <w:lang w:val="en-ZW"/>
        </w:rPr>
        <w:t>Akakandelwa</w:t>
      </w:r>
      <w:proofErr w:type="spellEnd"/>
      <w:r w:rsidRPr="004A795C">
        <w:rPr>
          <w:sz w:val="28"/>
          <w:szCs w:val="28"/>
          <w:lang w:val="en-ZW"/>
        </w:rPr>
        <w:t>, A. (2016).</w:t>
      </w:r>
      <w:proofErr w:type="gramEnd"/>
      <w:r w:rsidRPr="004A795C">
        <w:rPr>
          <w:b/>
          <w:sz w:val="28"/>
          <w:szCs w:val="28"/>
          <w:lang w:val="en-ZW"/>
        </w:rPr>
        <w:t xml:space="preserve"> </w:t>
      </w:r>
      <w:proofErr w:type="gramStart"/>
      <w:r w:rsidRPr="004A795C">
        <w:rPr>
          <w:b/>
          <w:sz w:val="28"/>
          <w:szCs w:val="28"/>
          <w:lang w:val="en-ZW"/>
        </w:rPr>
        <w:t>‘</w:t>
      </w:r>
      <w:proofErr w:type="spellStart"/>
      <w:r w:rsidRPr="004A795C">
        <w:rPr>
          <w:sz w:val="28"/>
          <w:szCs w:val="28"/>
          <w:lang w:val="en-ZW"/>
        </w:rPr>
        <w:t>Headteachers</w:t>
      </w:r>
      <w:proofErr w:type="spellEnd"/>
      <w:r w:rsidRPr="004A795C">
        <w:rPr>
          <w:sz w:val="28"/>
          <w:szCs w:val="28"/>
          <w:lang w:val="en-ZW"/>
        </w:rPr>
        <w:t>’ Conceptions of the Professional Competence of Newly Qualified Teachers in Zambia.’</w:t>
      </w:r>
      <w:proofErr w:type="gramEnd"/>
      <w:r w:rsidRPr="004A795C">
        <w:rPr>
          <w:i/>
          <w:sz w:val="28"/>
          <w:szCs w:val="28"/>
        </w:rPr>
        <w:t xml:space="preserve"> </w:t>
      </w:r>
      <w:proofErr w:type="gramStart"/>
      <w:r w:rsidRPr="004A795C">
        <w:rPr>
          <w:i/>
          <w:sz w:val="28"/>
          <w:szCs w:val="28"/>
        </w:rPr>
        <w:t>Zambia Journal of Teacher Professional Growth.</w:t>
      </w:r>
      <w:proofErr w:type="gramEnd"/>
      <w:r w:rsidRPr="004A795C">
        <w:rPr>
          <w:i/>
          <w:sz w:val="28"/>
          <w:szCs w:val="28"/>
        </w:rPr>
        <w:t xml:space="preserve"> 3</w:t>
      </w:r>
      <w:r w:rsidRPr="004A795C">
        <w:rPr>
          <w:sz w:val="28"/>
          <w:szCs w:val="28"/>
        </w:rPr>
        <w:t>(1) 31-43</w:t>
      </w:r>
      <w:r w:rsidRPr="004A795C">
        <w:rPr>
          <w:i/>
          <w:sz w:val="28"/>
          <w:szCs w:val="28"/>
        </w:rPr>
        <w:t xml:space="preserve"> </w:t>
      </w:r>
      <w:r w:rsidRPr="004A795C">
        <w:rPr>
          <w:sz w:val="28"/>
          <w:szCs w:val="28"/>
        </w:rPr>
        <w:t>(</w:t>
      </w:r>
      <w:r w:rsidRPr="004A795C">
        <w:rPr>
          <w:b/>
          <w:sz w:val="28"/>
          <w:szCs w:val="28"/>
        </w:rPr>
        <w:t>ISSN 2308-2178)</w:t>
      </w:r>
      <w:r w:rsidRPr="004A795C">
        <w:rPr>
          <w:b/>
          <w:bCs/>
          <w:sz w:val="28"/>
          <w:szCs w:val="28"/>
        </w:rPr>
        <w:t xml:space="preserve"> </w:t>
      </w:r>
      <w:r w:rsidRPr="004A795C">
        <w:rPr>
          <w:sz w:val="28"/>
          <w:szCs w:val="28"/>
        </w:rPr>
        <w:t xml:space="preserve"> </w:t>
      </w:r>
    </w:p>
    <w:p w:rsidR="004A795C" w:rsidRDefault="004A795C"/>
    <w:sectPr w:rsidR="004A795C" w:rsidSect="00D251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95C"/>
    <w:rsid w:val="00252D42"/>
    <w:rsid w:val="004A795C"/>
    <w:rsid w:val="00D251E0"/>
    <w:rsid w:val="00D9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795C"/>
    <w:rPr>
      <w:strike w:val="0"/>
      <w:dstrike w:val="0"/>
      <w:color w:val="A97E74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</dc:creator>
  <cp:keywords/>
  <dc:description/>
  <cp:lastModifiedBy>Pro-3500</cp:lastModifiedBy>
  <cp:revision>2</cp:revision>
  <dcterms:created xsi:type="dcterms:W3CDTF">2020-05-01T06:51:00Z</dcterms:created>
  <dcterms:modified xsi:type="dcterms:W3CDTF">2020-05-02T08:53:00Z</dcterms:modified>
</cp:coreProperties>
</file>